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314.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Framework Manager"</w:t>
            </w:r>
          </w:p>
        </w:tc>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pos="175"/>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3.1 of this Schedule; and</w:t>
            </w:r>
          </w:p>
        </w:tc>
      </w:tr>
      <w:t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Review Meetings"</w:t>
            </w:r>
          </w:p>
        </w:tc>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175"/>
              </w:tabs>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3.9 of this Schedule.</w:t>
            </w:r>
          </w:p>
        </w:tc>
      </w:tr>
    </w:tbl>
    <w:p w:rsidR="00000000" w:rsidDel="00000000" w:rsidP="00000000" w:rsidRDefault="00000000" w:rsidRPr="00000000" w14:paraId="00000008">
      <w:pPr>
        <w:keepNext w:val="1"/>
        <w:numPr>
          <w:ilvl w:val="0"/>
          <w:numId w:val="1"/>
        </w:numPr>
        <w:pBdr>
          <w:top w:space="0" w:sz="0" w:val="nil"/>
          <w:left w:space="0" w:sz="0" w:val="nil"/>
          <w:bottom w:space="0" w:sz="0" w:val="nil"/>
          <w:right w:space="0" w:sz="0" w:val="nil"/>
          <w:between w:space="0" w:sz="0" w:val="nil"/>
        </w:pBdr>
        <w:tabs>
          <w:tab w:val="left" w:pos="142"/>
        </w:tabs>
        <w:spacing w:after="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and the Supplier will work together</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This Schedule outlines the general structures and management activities that the Parties shall follow during the Framework Contract Period.</w:t>
      </w:r>
    </w:p>
    <w:p w:rsidR="00000000" w:rsidDel="00000000" w:rsidP="00000000" w:rsidRDefault="00000000" w:rsidRPr="00000000" w14:paraId="0000000C">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Management</w:t>
      </w:r>
    </w:p>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tabs>
          <w:tab w:val="left" w:pos="1134"/>
        </w:tabs>
        <w:spacing w:after="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Management Structure</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shall provide a suitably qualified nominated contact (the "</w:t>
      </w:r>
      <w:r w:rsidDel="00000000" w:rsidR="00000000" w:rsidRPr="00000000">
        <w:rPr>
          <w:rFonts w:ascii="Arial" w:cs="Arial" w:eastAsia="Arial" w:hAnsi="Arial"/>
          <w:b w:val="1"/>
          <w:color w:val="000000"/>
          <w:sz w:val="24"/>
          <w:szCs w:val="24"/>
          <w:rtl w:val="0"/>
        </w:rPr>
        <w:t xml:space="preserve">Supplier Framework Manager</w:t>
      </w:r>
      <w:r w:rsidDel="00000000" w:rsidR="00000000" w:rsidRPr="00000000">
        <w:rPr>
          <w:rFonts w:ascii="Arial" w:cs="Arial" w:eastAsia="Arial" w:hAnsi="Arial"/>
          <w:color w:val="000000"/>
          <w:sz w:val="24"/>
          <w:szCs w:val="24"/>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put in place a structure to manage this Contract in</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color w:val="000000"/>
          <w:sz w:val="24"/>
          <w:szCs w:val="24"/>
          <w:rtl w:val="0"/>
        </w:rPr>
        <w:t xml:space="preserve">"Supplier Action Plan"</w:t>
      </w:r>
      <w:r w:rsidDel="00000000" w:rsidR="00000000" w:rsidRPr="00000000">
        <w:rPr>
          <w:rFonts w:ascii="Arial" w:cs="Arial" w:eastAsia="Arial" w:hAnsi="Arial"/>
          <w:color w:val="000000"/>
          <w:sz w:val="24"/>
          <w:szCs w:val="24"/>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1134"/>
        </w:tabs>
        <w:spacing w:after="120" w:before="120" w:line="240" w:lineRule="auto"/>
        <w:ind w:left="900" w:hanging="576"/>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all requests from CCS in regard to compliance requirements as required including:</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D&amp;B risk failure score monitoring;</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 evidence that the Required Insurances and Additional Insurances have been renewed and maintained;</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invoice payment performance; and</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verification of required accreditations &amp; certifications.</w:t>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w:t>
      </w: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color w:val="000000"/>
          <w:sz w:val="24"/>
          <w:szCs w:val="24"/>
          <w:rtl w:val="0"/>
        </w:rPr>
        <w:t xml:space="preserve"> (Partially ending and suspending the contract), for a period as decided by CCS. </w:t>
      </w:r>
    </w:p>
    <w:p w:rsidR="00000000" w:rsidDel="00000000" w:rsidP="00000000" w:rsidRDefault="00000000" w:rsidRPr="00000000" w14:paraId="0000001C">
      <w:pPr>
        <w:keepNext w:val="1"/>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b w:val="1"/>
          <w:color w:val="000000"/>
          <w:sz w:val="24"/>
          <w:szCs w:val="24"/>
          <w:rtl w:val="0"/>
        </w:rPr>
        <w:t xml:space="preserve">Supplier Review Meetings</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b w:val="1"/>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Regular performance review meetings will take place at CCS’s premises throughout the Framework Contract Period</w:t>
      </w:r>
      <w:r w:rsidDel="00000000" w:rsidR="00000000" w:rsidRPr="00000000">
        <w:rPr>
          <w:rFonts w:ascii="Arial" w:cs="Arial" w:eastAsia="Arial" w:hAnsi="Arial"/>
          <w:b w:val="1"/>
          <w:color w:val="000000"/>
          <w:sz w:val="24"/>
          <w:szCs w:val="24"/>
          <w:rtl w:val="0"/>
        </w:rPr>
        <w:t xml:space="preserve"> ("Supplier Review Meetings")</w:t>
      </w:r>
      <w:r w:rsidDel="00000000" w:rsidR="00000000" w:rsidRPr="00000000">
        <w:rPr>
          <w:rFonts w:ascii="Arial" w:cs="Arial" w:eastAsia="Arial" w:hAnsi="Arial"/>
          <w:color w:val="000000"/>
          <w:sz w:val="24"/>
          <w:szCs w:val="24"/>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CCS may ask the Supplier to discuss any instances known to the Supplier where any Other Contracting Authority decided not to use this Framework Contract for their order.</w:t>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134"/>
        </w:tabs>
        <w:spacing w:after="120" w:before="120" w:line="240" w:lineRule="auto"/>
        <w:ind w:left="900" w:hanging="576"/>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2">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Supplier’s Performance will be measured</w:t>
      </w:r>
    </w:p>
    <w:p w:rsidR="00000000" w:rsidDel="00000000" w:rsidP="00000000" w:rsidRDefault="00000000" w:rsidRPr="00000000" w14:paraId="00000023">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performance will be measured by the following Performance Indicators (“PI”):</w:t>
      </w:r>
    </w:p>
    <w:tbl>
      <w:tblPr>
        <w:tblStyle w:val="Table2"/>
        <w:tblW w:w="80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93"/>
        <w:gridCol w:w="1476"/>
        <w:gridCol w:w="2234"/>
        <w:tblGridChange w:id="0">
          <w:tblGrid>
            <w:gridCol w:w="4293"/>
            <w:gridCol w:w="1476"/>
            <w:gridCol w:w="2234"/>
          </w:tblGrid>
        </w:tblGridChange>
      </w:tblGrid>
      <w:t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Measured by</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280" w:before="120" w:line="259"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MI returns: All MI returns to be returned to CCS by the 5th Working Day of each month.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280" w:before="120" w:line="259"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100% if submitted by the 5th Working Day. 50% up to 3 days late. 0% over 3 days late.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280" w:before="120" w:line="259"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Confirmation of receipt and time of receipt by CCS (as evidenced within the CCS’s data warehouse (Report Management Information system).</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280" w:before="120" w:line="259"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undisputed invoices to be paid within 30 calendar days of issue.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280" w:before="120" w:line="259"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100% if paid within 30 calendar days. 0% if paid over 30 calendar days.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280" w:before="120" w:line="259"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Confirmation of receipt and time of receipt by CCS (as evidenced within CCS’s CODA system).</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280" w:before="120" w:line="259"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 self-audit certificate to be issued to CCS in accordance with the Framework Contract.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280" w:before="120" w:line="259"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100% if accurate and on time.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280" w:before="120" w:line="259"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Confirmation of receipt and time of receipt by CCS.</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280" w:before="120" w:line="259"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Actions identified in an Audit Report to be delivered by the dates set out in the Audit Report.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280" w:before="120" w:line="259"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100% if no Action Plan is required. 100% if all actions since last audit have been delivered to plan. 66% if one or two actions are late. 33% if three or four actions are late. 0% if more than 4 actions are late.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280" w:before="120" w:line="259"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Confirmation by CCS of completion of the actions by the dates identified in the Audit Report.</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280" w:before="120" w:line="259"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Insurance certificates to be issued to CCS in accordance with the Framework Contract.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280" w:before="120" w:line="259"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100% if accurate and on time.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280" w:before="120" w:line="259"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Confirmation of receipt and time of receipt by CCS.</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280" w:before="120" w:line="259"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bookmarkStart w:colFirst="0" w:colLast="0" w:name="_heading=h.2s8eyo1" w:id="5"/>
            <w:bookmarkEnd w:id="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Report on an annual basis from the Framework Start Date all social value commitments and their benefits for all Call-Off Contracts.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280" w:before="120" w:line="259"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100% if accurate and on time.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280" w:before="120" w:line="259"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Confirmation of receipt and time of receipt by CCS.</w:t>
            </w:r>
          </w:p>
        </w:tc>
      </w:tr>
    </w:tbl>
    <w:p w:rsidR="00000000" w:rsidDel="00000000" w:rsidP="00000000" w:rsidRDefault="00000000" w:rsidRPr="00000000" w14:paraId="00000039">
      <w:pPr>
        <w:tabs>
          <w:tab w:val="left"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A">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3B">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3C">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reserves the right to use and publish the performance of the Supplier against the PIs without restriction.</w:t>
      </w:r>
    </w:p>
    <w:p w:rsidR="00000000" w:rsidDel="00000000" w:rsidP="00000000" w:rsidRDefault="00000000" w:rsidRPr="00000000" w14:paraId="0000003D">
      <w:pPr>
        <w:keepLines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must do to measure their performance</w:t>
      </w:r>
    </w:p>
    <w:p w:rsidR="00000000" w:rsidDel="00000000" w:rsidP="00000000" w:rsidRDefault="00000000" w:rsidRPr="00000000" w14:paraId="0000003E">
      <w:pPr>
        <w:keepNext w:val="1"/>
        <w:keepLines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43">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to do if CCS and the Buyer can’t agree about the performance </w:t>
      </w:r>
    </w:p>
    <w:p w:rsidR="00000000" w:rsidDel="00000000" w:rsidP="00000000" w:rsidRDefault="00000000" w:rsidRPr="00000000" w14:paraId="00000044">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cases where CCS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46">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Bold" w:cs="Arial Bold" w:eastAsia="Arial Bold" w:hAnsi="Arial Bold"/>
          <w:b w:val="1"/>
          <w:color w:val="000000"/>
          <w:sz w:val="24"/>
          <w:szCs w:val="24"/>
        </w:rPr>
      </w:pPr>
      <w:bookmarkStart w:colFirst="0" w:colLast="0" w:name="_heading=h.3dy6vkm" w:id="7"/>
      <w:bookmarkEnd w:id="7"/>
      <w:r w:rsidDel="00000000" w:rsidR="00000000" w:rsidRPr="00000000">
        <w:rPr>
          <w:rFonts w:ascii="Arial Bold" w:cs="Arial Bold" w:eastAsia="Arial Bold" w:hAnsi="Arial Bold"/>
          <w:b w:val="1"/>
          <w:color w:val="000000"/>
          <w:sz w:val="24"/>
          <w:szCs w:val="24"/>
          <w:rtl w:val="0"/>
        </w:rPr>
        <w:t xml:space="preserve">Marketing</w:t>
      </w:r>
    </w:p>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tabs>
          <w:tab w:val="left"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contribute to CCS publications</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4A">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bookmarkStart w:colFirst="0" w:colLast="0" w:name="_heading=h.4d34og8" w:id="9"/>
      <w:bookmarkEnd w:id="9"/>
      <w:r w:rsidDel="00000000" w:rsidR="00000000" w:rsidRPr="00000000">
        <w:rPr>
          <w:rFonts w:ascii="Arial" w:cs="Arial" w:eastAsia="Arial" w:hAnsi="Arial"/>
          <w:color w:val="000000"/>
          <w:sz w:val="24"/>
          <w:szCs w:val="24"/>
          <w:rtl w:val="0"/>
        </w:rPr>
        <w:t xml:space="preserve">Such information shall be provided in such form and at such time as CCS may request.</w:t>
      </w:r>
    </w:p>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4C">
      <w:pPr>
        <w:keepNext w:val="1"/>
        <w:pBdr>
          <w:top w:space="0" w:sz="0" w:val="nil"/>
          <w:left w:space="0" w:sz="0" w:val="nil"/>
          <w:bottom w:space="0" w:sz="0" w:val="nil"/>
          <w:right w:space="0" w:sz="0" w:val="nil"/>
          <w:between w:space="0" w:sz="0" w:val="nil"/>
        </w:pBdr>
        <w:tabs>
          <w:tab w:val="left"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Suppliers can say in its own publications</w:t>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color w:val="0000ff"/>
            <w:sz w:val="24"/>
            <w:szCs w:val="24"/>
            <w:u w:val="single"/>
            <w:rtl w:val="0"/>
          </w:rPr>
          <w:t xml:space="preserve">https://www.gov.uk/government/publications/crown-commercial-service-supplier-logo-and-brand-guidelines</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periodically update and revise its marketing materials to ensure ongoing compliance.</w:t>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50">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rsidR="00000000" w:rsidDel="00000000" w:rsidP="00000000" w:rsidRDefault="00000000" w:rsidRPr="00000000" w14:paraId="00000051">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Where CCS might oversee parts of the Call-Off Contracts</w:t>
      </w:r>
    </w:p>
    <w:p w:rsidR="00000000" w:rsidDel="00000000" w:rsidP="00000000" w:rsidRDefault="00000000" w:rsidRPr="00000000" w14:paraId="00000052">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1" w:hanging="72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3 (Continuous Improvement);]</w:t>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1" w:hanging="72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 and]</w:t>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w:t>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pos="1985"/>
        </w:tabs>
        <w:spacing w:after="120" w:before="120" w:line="240" w:lineRule="auto"/>
        <w:ind w:left="2160" w:hanging="4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w:t>
      </w:r>
      <w:r w:rsidDel="00000000" w:rsidR="00000000" w:rsidRPr="00000000">
        <w:rPr>
          <w:rFonts w:ascii="Arial" w:cs="Arial" w:eastAsia="Arial" w:hAnsi="Arial"/>
          <w:b w:val="1"/>
          <w:color w:val="000000"/>
          <w:sz w:val="24"/>
          <w:szCs w:val="24"/>
          <w:rtl w:val="0"/>
        </w:rPr>
        <w:t xml:space="preserve">"Supported Schedules"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58">
      <w:pPr>
        <w:keepNext w:val="1"/>
        <w:pBdr>
          <w:top w:space="0" w:sz="0" w:val="nil"/>
          <w:left w:space="0" w:sz="0" w:val="nil"/>
          <w:bottom w:space="0" w:sz="0" w:val="nil"/>
          <w:right w:space="0" w:sz="0" w:val="nil"/>
          <w:between w:space="0" w:sz="0" w:val="nil"/>
        </w:pBdr>
        <w:tabs>
          <w:tab w:val="left"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support CCS involvement</w:t>
      </w:r>
    </w:p>
    <w:p w:rsidR="00000000" w:rsidDel="00000000" w:rsidP="00000000" w:rsidRDefault="00000000" w:rsidRPr="00000000" w14:paraId="00000059">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co-operate as reasonably required by CCS in relation to the Supported Schedules including:</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 of information;</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matters as CCS may notify to the Supplier from time to time.</w:t>
      </w:r>
    </w:p>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CCS might manage the process for Buyers collectively </w:t>
      </w:r>
    </w:p>
    <w:p w:rsidR="00000000" w:rsidDel="00000000" w:rsidP="00000000" w:rsidRDefault="00000000" w:rsidRPr="00000000" w14:paraId="0000005E">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5F">
      <w:pPr>
        <w:keepNext w:val="1"/>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provisions in Paragraph 8 are to be included where CCS would be better placed to provide support on behalf of the Buyer community as a whole in these areas.]</w:t>
      </w:r>
      <w:r w:rsidDel="00000000" w:rsidR="00000000" w:rsidRPr="00000000">
        <w:rPr>
          <w:rtl w:val="0"/>
        </w:rPr>
      </w:r>
    </w:p>
    <w:p w:rsidR="00000000" w:rsidDel="00000000" w:rsidP="00000000" w:rsidRDefault="00000000" w:rsidRPr="00000000" w14:paraId="00000060">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1"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 - the Supplier shall:</w:t>
      </w:r>
    </w:p>
    <w:p w:rsidR="00000000" w:rsidDel="00000000" w:rsidP="00000000" w:rsidRDefault="00000000" w:rsidRPr="00000000" w14:paraId="00000061">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adopt a policy of continuous improvement in relation to the Deliverables;</w:t>
      </w:r>
    </w:p>
    <w:p w:rsidR="00000000" w:rsidDel="00000000" w:rsidP="00000000" w:rsidRDefault="00000000" w:rsidRPr="00000000" w14:paraId="00000062">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1"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 - the Supplier shall:</w:t>
      </w:r>
    </w:p>
    <w:p w:rsidR="00000000" w:rsidDel="00000000" w:rsidP="00000000" w:rsidRDefault="00000000" w:rsidRPr="00000000" w14:paraId="00000064">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65">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847" w:hanging="93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7">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CCS in the event of the invocation or potential invocation of any BCDR plan and the Supplier shall provide such support as CCS may reasonably require to coordinate the application of BCDR plans across all Call Off Agreements.]</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 - the Supplier shall:</w:t>
      </w:r>
    </w:p>
    <w:p w:rsidR="00000000" w:rsidDel="00000000" w:rsidP="00000000" w:rsidRDefault="00000000" w:rsidRPr="00000000" w14:paraId="00000069">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52"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6A">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52"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CCS in the event of breach of any Security Plan and the Supplier shall provide such support as CCS may reasonably require to coordinate the application of Security Plans across all Call Off Agreements.]</w:t>
      </w:r>
    </w:p>
    <w:p w:rsidR="00000000" w:rsidDel="00000000" w:rsidP="00000000" w:rsidRDefault="00000000" w:rsidRPr="00000000" w14:paraId="0000006B">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 the Supplier:</w:t>
      </w:r>
    </w:p>
    <w:p w:rsidR="00000000" w:rsidDel="00000000" w:rsidP="00000000" w:rsidRDefault="00000000" w:rsidRPr="00000000" w14:paraId="0000006C">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52"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notify CCS in the event that any benchmarker is appoint in respect of any Call Off Agreement and the Supplier recognises that CCS may want to co-ordinate how benchmarking is conducted across multiple Call Off Agreements;</w:t>
      </w:r>
    </w:p>
    <w:p w:rsidR="00000000" w:rsidDel="00000000" w:rsidP="00000000" w:rsidRDefault="00000000" w:rsidRPr="00000000" w14:paraId="0000006D">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52"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6E">
      <w:pPr>
        <w:keepNext w:val="1"/>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rsidR="00000000" w:rsidDel="00000000" w:rsidP="00000000" w:rsidRDefault="00000000" w:rsidRPr="00000000" w14:paraId="0000006F">
      <w:pPr>
        <w:keepNext w:val="1"/>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92" w:hanging="936"/>
        <w:rPr>
          <w:rFonts w:ascii="Arial" w:cs="Arial" w:eastAsia="Arial" w:hAnsi="Arial"/>
          <w:color w:val="000000"/>
          <w:sz w:val="24"/>
          <w:szCs w:val="24"/>
        </w:rPr>
        <w:sectPr>
          <w:headerReference r:id="rId8" w:type="default"/>
          <w:headerReference r:id="rId9" w:type="first"/>
          <w:footerReference r:id="rId10" w:type="default"/>
          <w:footerReference r:id="rId11" w:type="first"/>
          <w:pgSz w:h="16838" w:w="11906"/>
          <w:pgMar w:bottom="1440" w:top="1440" w:left="1440" w:right="1440" w:header="709" w:footer="709"/>
          <w:pgNumType w:start="1"/>
          <w:cols w:equalWidth="0"/>
        </w:sectPr>
      </w:pPr>
      <w:r w:rsidDel="00000000" w:rsidR="00000000" w:rsidRPr="00000000">
        <w:rPr>
          <w:rtl w:val="0"/>
        </w:rPr>
      </w:r>
    </w:p>
    <w:p w:rsidR="00000000" w:rsidDel="00000000" w:rsidP="00000000" w:rsidRDefault="00000000" w:rsidRPr="00000000" w14:paraId="00000070">
      <w:pPr>
        <w:keepNext w:val="1"/>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92" w:hanging="936"/>
        <w:rPr>
          <w:rFonts w:ascii="Arial" w:cs="Arial" w:eastAsia="Arial" w:hAnsi="Arial"/>
          <w:color w:val="000000"/>
          <w:sz w:val="24"/>
          <w:szCs w:val="24"/>
          <w:highlight w:val="red"/>
        </w:rPr>
      </w:pPr>
      <w:r w:rsidDel="00000000" w:rsidR="00000000" w:rsidRPr="00000000">
        <w:rPr>
          <w:rtl w:val="0"/>
        </w:rPr>
      </w:r>
    </w:p>
    <w:sectPr>
      <w:type w:val="nextPage"/>
      <w:pgSz w:h="16838" w:w="11906"/>
      <w:pgMar w:bottom="1440" w:top="1440" w:left="1440" w:right="1440" w:header="709" w:footer="709"/>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center" w:pos="4513"/>
        <w:tab w:val="right" w:pos="9026"/>
      </w:tabs>
      <w:spacing w:after="0" w:line="240" w:lineRule="auto"/>
      <w:rPr>
        <w:color w:val="bfbfbf"/>
      </w:rPr>
    </w:pPr>
    <w:r w:rsidDel="00000000" w:rsidR="00000000" w:rsidRPr="00000000">
      <w:rPr>
        <w:rFonts w:ascii="Arial" w:cs="Arial" w:eastAsia="Arial" w:hAnsi="Arial"/>
        <w:color w:val="000000"/>
        <w:sz w:val="20"/>
        <w:szCs w:val="20"/>
        <w:rtl w:val="0"/>
      </w:rPr>
      <w:t xml:space="preserve">Model Version: v3.0</w:t>
      <w:tab/>
    </w:r>
    <w:r w:rsidDel="00000000" w:rsidR="00000000" w:rsidRPr="00000000">
      <w:rPr>
        <w:rFonts w:ascii="Arial" w:cs="Arial" w:eastAsia="Arial" w:hAnsi="Arial"/>
        <w:color w:val="bfbfbf"/>
        <w:sz w:val="20"/>
        <w:szCs w:val="20"/>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RM6187</w:t>
      <w:tab/>
      <w:t xml:space="preserve">                                           </w:t>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A">
    <w:pPr>
      <w:spacing w:after="0" w:line="240" w:lineRule="auto"/>
      <w:jc w:val="both"/>
      <w:rPr/>
    </w:pPr>
    <w:r w:rsidDel="00000000" w:rsidR="00000000" w:rsidRPr="00000000">
      <w:rPr>
        <w:rFonts w:ascii="Arial" w:cs="Arial" w:eastAsia="Arial" w:hAnsi="Arial"/>
        <w:sz w:val="20"/>
        <w:szCs w:val="20"/>
        <w:rtl w:val="0"/>
      </w:rPr>
      <w:t xml:space="preserve">Model Version: v3.3</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clear" w:pos="1985"/>
      </w:tabs>
      <w:ind w:left="2592" w:hanging="936"/>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num" w:pos="360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cs="Arial" w:eastAsia="Times New Roman"/>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cs="Arial" w:eastAsia="Times New Roman"/>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FAMainHeading" w:customStyle="1">
    <w:name w:val="FA: Main Heading"/>
    <w:basedOn w:val="Heading1"/>
    <w:qFormat w:val="1"/>
    <w:rsid w:val="002304FD"/>
    <w:pPr>
      <w:widowControl w:val="0"/>
      <w:numPr>
        <w:numId w:val="4"/>
      </w:numPr>
      <w:spacing w:after="20" w:before="20" w:line="240" w:lineRule="auto"/>
    </w:pPr>
    <w:rPr>
      <w:rFonts w:ascii="Arial" w:cs="Arial" w:eastAsia="Calibri" w:hAnsi="Arial"/>
      <w:bCs w:val="0"/>
      <w:color w:val="auto"/>
      <w:sz w:val="22"/>
      <w:szCs w:val="36"/>
    </w:rPr>
  </w:style>
  <w:style w:type="paragraph" w:styleId="FALevel1" w:customStyle="1">
    <w:name w:val="FA: Level 1"/>
    <w:basedOn w:val="Normal"/>
    <w:link w:val="FALevel1Char"/>
    <w:qFormat w:val="1"/>
    <w:rsid w:val="002304FD"/>
    <w:pPr>
      <w:numPr>
        <w:ilvl w:val="1"/>
        <w:numId w:val="4"/>
      </w:numPr>
      <w:spacing w:after="280" w:before="120" w:line="259" w:lineRule="auto"/>
    </w:pPr>
    <w:rPr>
      <w:rFonts w:ascii="Arial" w:cs="Arial" w:hAnsi="Arial" w:eastAsiaTheme="minorHAnsi"/>
      <w:lang w:eastAsia="en-US"/>
    </w:rPr>
  </w:style>
  <w:style w:type="character" w:styleId="FALevel1Char" w:customStyle="1">
    <w:name w:val="FA: Level 1 Char"/>
    <w:basedOn w:val="DefaultParagraphFont"/>
    <w:link w:val="FALevel1"/>
    <w:rsid w:val="002304FD"/>
    <w:rPr>
      <w:rFonts w:ascii="Arial" w:cs="Arial" w:hAnsi="Arial" w:eastAsiaTheme="minorHAnsi"/>
      <w:lang w:eastAsia="en-US"/>
    </w:rPr>
  </w:style>
  <w:style w:type="paragraph" w:styleId="FALevel2" w:customStyle="1">
    <w:name w:val="FA: Level 2"/>
    <w:basedOn w:val="Normal"/>
    <w:qFormat w:val="1"/>
    <w:rsid w:val="002304FD"/>
    <w:pPr>
      <w:numPr>
        <w:ilvl w:val="2"/>
        <w:numId w:val="4"/>
      </w:numPr>
      <w:spacing w:after="280" w:before="120" w:line="259" w:lineRule="auto"/>
    </w:pPr>
    <w:rPr>
      <w:rFonts w:ascii="Arial" w:cs="Arial" w:hAnsi="Arial" w:eastAsiaTheme="minorHAnsi"/>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uEBVZo92PZ1MH6xUEVy9Fv+bGA==">AMUW2mU4f+qmS1DgS6ZpAkndBOj+XjMzFZZAIPEp3JUKKtUEObRBmwq3W40z261KfDcl/RoMiN5vNWtUY0u2k6/gXeTZAJOVtYju0r38LxK6qydhqd8nXDfNvZbgiLpmTg58v+WFY1xaCvqDRO3zT8cGEqefJ9AhZ6sHa+QYwiOkmbIYpdkOLNWdRydTF/CUhk7Vbh+87KOSgB7JVanLIMX48HVzpU8jp3ZEJrQ9YN/XpJf/M/7rg/RT0nyPRHM/kDXy+p5s56f3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2018-03-29T11:23:00Z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